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54"/>
        </w:tabs>
        <w:spacing w:after="468" w:afterLines="150" w:line="540" w:lineRule="exact"/>
        <w:jc w:val="center"/>
        <w:outlineLvl w:val="0"/>
        <w:rPr>
          <w:rFonts w:hint="default" w:ascii="Times New Roman" w:hAnsi="Times New Roman" w:eastAsia="华文中宋" w:cs="Times New Roman"/>
          <w:b/>
          <w:color w:val="000000"/>
          <w:sz w:val="44"/>
          <w:szCs w:val="44"/>
        </w:rPr>
      </w:pPr>
      <w:bookmarkStart w:id="0" w:name="_Toc5038"/>
      <w:r>
        <w:rPr>
          <w:rFonts w:hint="default" w:ascii="Times New Roman" w:hAnsi="Times New Roman" w:eastAsia="华文中宋" w:cs="Times New Roman"/>
          <w:b/>
          <w:color w:val="000000"/>
          <w:sz w:val="44"/>
          <w:szCs w:val="44"/>
        </w:rPr>
        <w:t>气调储粮整套管理服务的实施办法</w:t>
      </w:r>
      <w:bookmarkEnd w:id="0"/>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了进一步加强充氮气调储粮技术的推广力度，提升客户应用该技术的效果和操作技能，彻底解决基层粮库气调储粮实施成功难度大的实际问题，探索为客户提供气调储粮整套管理服务的必要性、实用性和可操作性，特制订本实施办法。</w:t>
      </w:r>
    </w:p>
    <w:p>
      <w:pPr>
        <w:tabs>
          <w:tab w:val="left" w:pos="8254"/>
        </w:tabs>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一、当前基层粮库气调储粮出现的普遍问题</w:t>
      </w:r>
    </w:p>
    <w:p>
      <w:pPr>
        <w:tabs>
          <w:tab w:val="left" w:pos="8254"/>
        </w:tabs>
        <w:spacing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（一）仓房气密性处理不恰当，造成仓房气密性不达标，漏气的情况下强充氮气。</w:t>
      </w:r>
    </w:p>
    <w:p>
      <w:pPr>
        <w:tabs>
          <w:tab w:val="left" w:pos="8254"/>
        </w:tabs>
        <w:spacing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（二）保化人员对充氮技术不熟悉，在选择充氮工艺上存在误区。</w:t>
      </w:r>
    </w:p>
    <w:p>
      <w:pPr>
        <w:tabs>
          <w:tab w:val="left" w:pos="8254"/>
        </w:tabs>
        <w:spacing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（三）部分工作人员对智能控制系统操作存在困难。</w:t>
      </w:r>
    </w:p>
    <w:p>
      <w:pPr>
        <w:tabs>
          <w:tab w:val="left" w:pos="8254"/>
        </w:tabs>
        <w:spacing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（四）充氮过程监管不到位，形成充氮结果失效，充氮能耗和费用超标。</w:t>
      </w:r>
    </w:p>
    <w:p>
      <w:pPr>
        <w:tabs>
          <w:tab w:val="left" w:pos="8254"/>
        </w:tabs>
        <w:spacing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（五）设备设施维护能力差，缺乏专业知识。</w:t>
      </w:r>
    </w:p>
    <w:p>
      <w:pPr>
        <w:tabs>
          <w:tab w:val="left" w:pos="8254"/>
        </w:tabs>
        <w:spacing w:line="54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（六）</w:t>
      </w:r>
      <w:r>
        <w:rPr>
          <w:rFonts w:hint="default" w:ascii="Times New Roman" w:hAnsi="Times New Roman" w:eastAsia="仿宋_GB2312" w:cs="Times New Roman"/>
          <w:sz w:val="32"/>
          <w:szCs w:val="32"/>
        </w:rPr>
        <w:t>其他应用过程中出现的问题。</w:t>
      </w:r>
    </w:p>
    <w:p>
      <w:pPr>
        <w:tabs>
          <w:tab w:val="left" w:pos="8254"/>
        </w:tabs>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二、整套管理服务内容</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针对上述问题，我公司提出了气调储粮整套管理服务的新思路，彻底解决客户在充氮气调储粮工作过程中存在的问题。气调储粮整套管理服务所包含的内容，可按照客户的实际情况和要求进行任意组合，服务合同可单独签署（合同样板详见附件1）。内容具体如下：</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（一）仓房气密性前期工作准备。</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包括薄膜焊接、墙壁挂膜、粮面覆膜、气密性补漏、气密性检测等服务项目，客户可根据实际情况选择其中需要的项目。</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（二）气调储粮过程的监管。</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包括选择充气工艺、充氮设备设施的检查、实际操作充气过程（含补气）、检测粮堆氮气浓度、检查杀虫效果等。</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（三）气调设备设施维护。</w:t>
      </w:r>
    </w:p>
    <w:p>
      <w:pPr>
        <w:tabs>
          <w:tab w:val="left" w:pos="8254"/>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包括制氮机组维护、充氮智能控制系统维护、仓内充氮材料维护等。</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（四）气调储粮数据的收集和汇总。</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包括气调储粮过程的数据收集、能耗统计、杀虫效果、配合客户攒写论文、申请专利等。</w:t>
      </w:r>
    </w:p>
    <w:p>
      <w:pPr>
        <w:tabs>
          <w:tab w:val="left" w:pos="8254"/>
        </w:tabs>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三、服务效果及验收标准（视具体仓房条件确定）</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（一）杀虫模式可实现充氮浓度达到98%以上；保鲜模式可实现充氮浓度达95%以上。</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（二）仓房气密性达到200秒以上的仓房，单次充氮吨粮电能成本将控制在1.0元以下。</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（三）充氮过程结束后粮堆基本无活虫。</w:t>
      </w:r>
    </w:p>
    <w:p>
      <w:pPr>
        <w:tabs>
          <w:tab w:val="left" w:pos="8254"/>
        </w:tabs>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四、服务方式及收费标准</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气调储粮整套管理服务为有偿服务，服务内容包括专业技术人员的指导和劳务费，不包含材料、电能能耗费用等相关充氮设备设施的提供。服务过程中正常损坏的材料和设备设施由客户出资维修或更换。</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调储粮整套管理服务的费用收取标准分为单次充气管理服务和全年充气管理服务两类，以充气仓房实际存粮数量计算，一般以总仓容1万吨或以上粮食为服务起点。单次充气管理服务为每吨粮3元/次，全年充气管理服务为每吨粮5元/年。（服务内容可拆分，收费视选择项目另行计算。）</w:t>
      </w:r>
    </w:p>
    <w:p>
      <w:pPr>
        <w:tabs>
          <w:tab w:val="left" w:pos="8254"/>
        </w:tabs>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五、操作流程</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（一）对于有意向实施“气调储粮整套管理服务”的客户，项目经理需主动联系客户，获取客户的使用倾向，确定客户需求。</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（二）项目经理根据客户的需求制订“气调储粮整套管理服务”的实施方案及费用预算。</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（三）确认实施方案及费用预算后，项目经理及时拟定合同并签署（范本见附件2）。</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（四）合同签署后，尽快与客户取得联系，确定服务时间及对接人员。</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（五）约定服务时间前2周，项目经理需提前与客户取得联系，落实充氮服务具体时间及相关材料准备情况，并告知客户提前10日向我公司发函进行预约。</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（六）收到客户预约函件后，我公司技术人员尽快赶赴现场履行服务内容。</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（七）完成服务后，技术员向客户提交相关数据报告并签署服务确认单，确认单上传公司业务管理系统。</w:t>
      </w:r>
    </w:p>
    <w:p>
      <w:pPr>
        <w:tabs>
          <w:tab w:val="left" w:pos="8254"/>
        </w:tabs>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六、业务推广</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（一）区域经理和项目经理可在项目洽谈、客户回访、工程验收及售后服务过程中，寻找合适的时机介绍气调储粮整套管理服务内容。</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（二）公司通过发函的形式向已在使用智能气调的客户进行整套管理服务方案的推荐。</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（三）公司在官网页面加入气调储粮整套管理服务方案的相关内容，增加互联网宣传。</w:t>
      </w:r>
    </w:p>
    <w:p>
      <w:pPr>
        <w:tabs>
          <w:tab w:val="left" w:pos="8254"/>
        </w:tabs>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（四）公司根据实际情况，对重点客户个别仓房提供免费整套管理服务，达到服务宣传作用。</w:t>
      </w:r>
    </w:p>
    <w:p>
      <w:pPr>
        <w:tabs>
          <w:tab w:val="left" w:pos="8254"/>
        </w:tabs>
        <w:spacing w:line="540" w:lineRule="exact"/>
        <w:ind w:firstLine="640" w:firstLineChars="200"/>
        <w:rPr>
          <w:rFonts w:hint="default" w:ascii="Times New Roman" w:hAnsi="Times New Roman" w:eastAsia="仿宋_GB2312" w:cs="Times New Roman"/>
          <w:sz w:val="32"/>
          <w:szCs w:val="32"/>
        </w:rPr>
      </w:pPr>
    </w:p>
    <w:p>
      <w:pPr>
        <w:tabs>
          <w:tab w:val="left" w:pos="8254"/>
        </w:tabs>
        <w:spacing w:line="540" w:lineRule="exact"/>
        <w:ind w:firstLine="640" w:firstLineChars="200"/>
        <w:rPr>
          <w:rFonts w:hint="default" w:ascii="Times New Roman" w:hAnsi="Times New Roman" w:eastAsia="仿宋_GB2312" w:cs="Times New Roman"/>
          <w:sz w:val="32"/>
          <w:szCs w:val="32"/>
        </w:rPr>
      </w:pPr>
    </w:p>
    <w:p>
      <w:pPr>
        <w:tabs>
          <w:tab w:val="left" w:pos="8254"/>
        </w:tabs>
        <w:spacing w:line="540" w:lineRule="exact"/>
        <w:ind w:firstLine="640" w:firstLineChars="200"/>
        <w:rPr>
          <w:rFonts w:hint="default" w:ascii="Times New Roman" w:hAnsi="Times New Roman" w:eastAsia="仿宋_GB2312" w:cs="Times New Roman"/>
          <w:sz w:val="32"/>
          <w:szCs w:val="32"/>
        </w:rPr>
      </w:pPr>
    </w:p>
    <w:p>
      <w:pPr>
        <w:tabs>
          <w:tab w:val="left" w:pos="8254"/>
        </w:tabs>
        <w:spacing w:line="540" w:lineRule="exact"/>
        <w:ind w:firstLine="643" w:firstLineChars="200"/>
        <w:rPr>
          <w:rFonts w:hint="default" w:ascii="Times New Roman" w:hAnsi="Times New Roman" w:eastAsia="仿宋_GB2312" w:cs="Times New Roman"/>
          <w:b/>
          <w:sz w:val="32"/>
          <w:szCs w:val="32"/>
        </w:rPr>
      </w:pPr>
    </w:p>
    <w:p>
      <w:pPr>
        <w:tabs>
          <w:tab w:val="left" w:pos="8254"/>
        </w:tabs>
        <w:spacing w:line="540" w:lineRule="exac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附表：</w:t>
      </w:r>
    </w:p>
    <w:p>
      <w:pPr>
        <w:tabs>
          <w:tab w:val="left" w:pos="8254"/>
        </w:tabs>
        <w:spacing w:line="54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整套管理服务报价单</w:t>
      </w:r>
    </w:p>
    <w:tbl>
      <w:tblPr>
        <w:tblStyle w:val="3"/>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57"/>
        <w:gridCol w:w="1559"/>
        <w:gridCol w:w="1701"/>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服务名称</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价格（元）</w:t>
            </w:r>
          </w:p>
        </w:tc>
        <w:tc>
          <w:tcPr>
            <w:tcW w:w="22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墙体挂膜</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廒间</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3000</w:t>
            </w:r>
          </w:p>
        </w:tc>
        <w:tc>
          <w:tcPr>
            <w:tcW w:w="2257" w:type="dxa"/>
          </w:tcPr>
          <w:p>
            <w:pPr>
              <w:tabs>
                <w:tab w:val="left" w:pos="8254"/>
              </w:tabs>
              <w:spacing w:line="54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粮面覆膜</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廒间</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3000</w:t>
            </w:r>
          </w:p>
        </w:tc>
        <w:tc>
          <w:tcPr>
            <w:tcW w:w="2257" w:type="dxa"/>
          </w:tcPr>
          <w:p>
            <w:pPr>
              <w:tabs>
                <w:tab w:val="left" w:pos="8254"/>
              </w:tabs>
              <w:spacing w:line="54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气密性补漏</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仓</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1500</w:t>
            </w:r>
          </w:p>
        </w:tc>
        <w:tc>
          <w:tcPr>
            <w:tcW w:w="2257" w:type="dxa"/>
          </w:tcPr>
          <w:p>
            <w:pPr>
              <w:tabs>
                <w:tab w:val="left" w:pos="8254"/>
              </w:tabs>
              <w:spacing w:line="54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仓房充氮</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吨粮</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w:t>
            </w:r>
          </w:p>
        </w:tc>
        <w:tc>
          <w:tcPr>
            <w:tcW w:w="2257" w:type="dxa"/>
          </w:tcPr>
          <w:p>
            <w:pPr>
              <w:tabs>
                <w:tab w:val="left" w:pos="8254"/>
              </w:tabs>
              <w:spacing w:line="54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充氮系统维护</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次/廒间</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1000</w:t>
            </w:r>
          </w:p>
        </w:tc>
        <w:tc>
          <w:tcPr>
            <w:tcW w:w="2257" w:type="dxa"/>
          </w:tcPr>
          <w:p>
            <w:pPr>
              <w:tabs>
                <w:tab w:val="left" w:pos="8254"/>
              </w:tabs>
              <w:spacing w:line="540" w:lineRule="exact"/>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66"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2957"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仓内充氮材料维护</w:t>
            </w:r>
          </w:p>
        </w:tc>
        <w:tc>
          <w:tcPr>
            <w:tcW w:w="1559"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次/廒间</w:t>
            </w:r>
          </w:p>
        </w:tc>
        <w:tc>
          <w:tcPr>
            <w:tcW w:w="1701" w:type="dxa"/>
          </w:tcPr>
          <w:p>
            <w:pPr>
              <w:tabs>
                <w:tab w:val="left" w:pos="8254"/>
              </w:tabs>
              <w:spacing w:line="5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500</w:t>
            </w:r>
          </w:p>
        </w:tc>
        <w:tc>
          <w:tcPr>
            <w:tcW w:w="2257" w:type="dxa"/>
          </w:tcPr>
          <w:p>
            <w:pPr>
              <w:tabs>
                <w:tab w:val="left" w:pos="8254"/>
              </w:tabs>
              <w:spacing w:line="540" w:lineRule="exact"/>
              <w:rPr>
                <w:rFonts w:hint="default" w:ascii="Times New Roman" w:hAnsi="Times New Roman" w:eastAsia="仿宋_GB2312" w:cs="Times New Roman"/>
                <w:color w:val="000000"/>
                <w:sz w:val="32"/>
                <w:szCs w:val="32"/>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74A5B"/>
    <w:rsid w:val="10174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2021-09-22T03:40:00Z</dcterms:created>
  <dc:creator>Administrator</dc:creator>
  <cp:lastModifiedBy>Administrator</cp:lastModifiedBy>
  <dcterms:modified xsi:type="dcterms:W3CDTF">2021-09-22T03:40:13Z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